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6F4D" w14:textId="10B5A071" w:rsidR="00AD0E38" w:rsidRDefault="00610CFD" w:rsidP="00610CFD">
      <w:pPr>
        <w:spacing w:after="0"/>
        <w:rPr>
          <w:rFonts w:eastAsia="Arial" w:cs="Arial"/>
          <w:b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 xml:space="preserve">MIDLERTIDIG </w:t>
      </w:r>
      <w:r w:rsidR="00EE336F">
        <w:rPr>
          <w:rFonts w:eastAsia="Arial" w:cs="Arial"/>
          <w:b/>
          <w:sz w:val="32"/>
          <w:szCs w:val="32"/>
        </w:rPr>
        <w:t>PERSONALREGLEMENT</w:t>
      </w:r>
    </w:p>
    <w:p w14:paraId="1A9D8430" w14:textId="3B124A1E" w:rsidR="00610CFD" w:rsidRDefault="00610CFD" w:rsidP="00610CFD">
      <w:pPr>
        <w:spacing w:after="0"/>
        <w:ind w:left="14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FOR </w:t>
      </w:r>
      <w:r w:rsidRPr="00B5069F">
        <w:rPr>
          <w:rFonts w:eastAsia="Arial" w:cs="Arial"/>
          <w:b/>
          <w:color w:val="767171" w:themeColor="background2" w:themeShade="80"/>
          <w:sz w:val="24"/>
          <w:szCs w:val="24"/>
        </w:rPr>
        <w:t>[</w:t>
      </w:r>
      <w:r w:rsidRPr="00B5069F">
        <w:rPr>
          <w:rFonts w:eastAsia="Arial" w:cs="Arial"/>
          <w:b/>
          <w:i/>
          <w:iCs/>
          <w:color w:val="767171" w:themeColor="background2" w:themeShade="80"/>
          <w:sz w:val="24"/>
          <w:szCs w:val="24"/>
        </w:rPr>
        <w:t>VIRKSOMHETENS NAVN</w:t>
      </w:r>
      <w:r w:rsidRPr="00B5069F">
        <w:rPr>
          <w:rFonts w:eastAsia="Arial" w:cs="Arial"/>
          <w:b/>
          <w:color w:val="767171" w:themeColor="background2" w:themeShade="80"/>
          <w:sz w:val="24"/>
          <w:szCs w:val="24"/>
        </w:rPr>
        <w:t>]</w:t>
      </w:r>
    </w:p>
    <w:p w14:paraId="0CEA6A89" w14:textId="77777777" w:rsidR="00610CFD" w:rsidRPr="00610CFD" w:rsidRDefault="00610CFD" w:rsidP="00610CFD">
      <w:pPr>
        <w:spacing w:after="0"/>
        <w:ind w:left="14"/>
        <w:rPr>
          <w:rFonts w:eastAsia="Arial" w:cs="Arial"/>
          <w:b/>
          <w:sz w:val="20"/>
          <w:szCs w:val="20"/>
        </w:rPr>
      </w:pPr>
    </w:p>
    <w:p w14:paraId="4F7ADCA6" w14:textId="11A6341D" w:rsidR="00AD0E38" w:rsidRPr="00BB0CC2" w:rsidRDefault="00BE2780" w:rsidP="00D43D9D">
      <w:pPr>
        <w:spacing w:after="0"/>
        <w:rPr>
          <w:rFonts w:eastAsia="Arial" w:cs="Arial"/>
          <w:b/>
          <w:sz w:val="20"/>
          <w:szCs w:val="20"/>
        </w:rPr>
      </w:pPr>
      <w:r w:rsidRPr="00BB0CC2">
        <w:rPr>
          <w:rFonts w:eastAsia="Arial" w:cs="Arial"/>
          <w:b/>
          <w:color w:val="FF0000"/>
          <w:sz w:val="20"/>
          <w:szCs w:val="20"/>
        </w:rPr>
        <w:t xml:space="preserve">Veiledning til malen finnes i Statens </w:t>
      </w:r>
      <w:r w:rsidR="007D2785">
        <w:rPr>
          <w:rFonts w:eastAsia="Arial" w:cs="Arial"/>
          <w:b/>
          <w:color w:val="FF0000"/>
          <w:sz w:val="20"/>
          <w:szCs w:val="20"/>
        </w:rPr>
        <w:t>p</w:t>
      </w:r>
      <w:r w:rsidRPr="00BB0CC2">
        <w:rPr>
          <w:rFonts w:eastAsia="Arial" w:cs="Arial"/>
          <w:b/>
          <w:color w:val="FF0000"/>
          <w:sz w:val="20"/>
          <w:szCs w:val="20"/>
        </w:rPr>
        <w:t>ersonalhåndbok</w:t>
      </w:r>
    </w:p>
    <w:p w14:paraId="17CB6970" w14:textId="7198B145" w:rsidR="00BE2780" w:rsidRDefault="00BE2780" w:rsidP="00D43D9D">
      <w:pPr>
        <w:spacing w:after="0"/>
        <w:rPr>
          <w:rFonts w:eastAsia="Arial" w:cs="Arial"/>
          <w:b/>
          <w:sz w:val="16"/>
        </w:rPr>
      </w:pPr>
    </w:p>
    <w:p w14:paraId="073B283B" w14:textId="77777777" w:rsidR="00EE336F" w:rsidRPr="00EE336F" w:rsidRDefault="00EE336F" w:rsidP="00BE2780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BE2780" w:rsidRPr="00185519" w14:paraId="385A17DB" w14:textId="77777777" w:rsidTr="006A7CF5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315F8410" w14:textId="27A7FA6A" w:rsidR="00BE2780" w:rsidRPr="0038423E" w:rsidRDefault="00610CFD" w:rsidP="00BE278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Ansettelse og innstilling</w:t>
            </w:r>
          </w:p>
        </w:tc>
      </w:tr>
      <w:tr w:rsidR="007B4E61" w:rsidRPr="00185519" w14:paraId="00278C5B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0A869D12" w14:textId="1A2BA5BD" w:rsidR="007B4E61" w:rsidRPr="00185519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0103" w:type="dxa"/>
            <w:shd w:val="clear" w:color="auto" w:fill="auto"/>
          </w:tcPr>
          <w:p w14:paraId="684D4E63" w14:textId="174E0BFC" w:rsidR="008554BC" w:rsidRPr="008554BC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[Fyll inn </w:t>
            </w:r>
            <w:r w:rsidR="00400C9A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det</w:t>
            </w: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alternativet som passer:</w:t>
            </w:r>
          </w:p>
          <w:p w14:paraId="3DAA8079" w14:textId="510F8217" w:rsidR="008554BC" w:rsidRPr="008554BC" w:rsidRDefault="008554BC" w:rsidP="008554BC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Direktør (leder) utnevnes av Kongen i statsråd og er følgelig embetsmann.</w:t>
            </w:r>
          </w:p>
          <w:p w14:paraId="7CFFBC53" w14:textId="77777777" w:rsidR="008554BC" w:rsidRPr="008554BC" w:rsidRDefault="008554BC" w:rsidP="008554BC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Direktør beskikkes av Kongen i statsråd</w:t>
            </w:r>
          </w:p>
          <w:p w14:paraId="06D11BD4" w14:textId="113D5DCB" w:rsidR="008554BC" w:rsidRPr="008554BC" w:rsidRDefault="008554BC" w:rsidP="008554BC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Direktør ansettes av </w:t>
            </w:r>
            <w:r w:rsidR="002C1B21" w:rsidRPr="002C1B2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</w:t>
            </w:r>
            <w:r w:rsidRPr="002C1B2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x</w:t>
            </w:r>
            <w:r w:rsidR="002C1B21" w:rsidRPr="002C1B2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  <w:r w:rsidRPr="002C1B2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</w:p>
          <w:p w14:paraId="7D9A4C58" w14:textId="78E9D7C7" w:rsidR="008554BC" w:rsidRPr="008554BC" w:rsidRDefault="008554BC" w:rsidP="008554BC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Direktør ansettes av styret for virksomheten</w:t>
            </w:r>
            <w:r w:rsidRPr="002C1B21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  <w:p w14:paraId="694466C5" w14:textId="61BEB710" w:rsidR="007B4E61" w:rsidRPr="00610CFD" w:rsidRDefault="007B4E61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8554BC" w:rsidRPr="00185519" w14:paraId="6857010D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E7E5BBA" w14:textId="2EA6EBFD" w:rsidR="008554BC" w:rsidRPr="00185519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10103" w:type="dxa"/>
            <w:shd w:val="clear" w:color="auto" w:fill="auto"/>
          </w:tcPr>
          <w:p w14:paraId="3091E6FB" w14:textId="44FABCBC" w:rsidR="008554BC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[Fyll inn e</w:t>
            </w:r>
            <w:r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ventuelle særregler for andre ledere m.m.</w:t>
            </w: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  <w:tr w:rsidR="008554BC" w:rsidRPr="00185519" w14:paraId="50842984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18F269F9" w14:textId="648EECB7" w:rsidR="008554BC" w:rsidRPr="00185519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0103" w:type="dxa"/>
            <w:shd w:val="clear" w:color="auto" w:fill="auto"/>
          </w:tcPr>
          <w:p w14:paraId="26D83C0B" w14:textId="24047679" w:rsidR="008554BC" w:rsidRDefault="008554BC" w:rsidP="008554BC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Ved utnevning eller konstitusjon av embetsmann skal embetsmannen underrettes skriftlig med opplysning om eventuelle særvilkår</w:t>
            </w:r>
            <w:r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[</w:t>
            </w:r>
            <w:r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Utelates hvis det ikke er embetsmenn i virksomheten</w:t>
            </w:r>
            <w: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  <w:tr w:rsidR="008554BC" w:rsidRPr="00185519" w14:paraId="584E08DD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66DC69FC" w14:textId="22587AAF" w:rsidR="008554BC" w:rsidRPr="00185519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10103" w:type="dxa"/>
            <w:shd w:val="clear" w:color="auto" w:fill="auto"/>
          </w:tcPr>
          <w:p w14:paraId="30DAE348" w14:textId="18F97D6B" w:rsidR="008554BC" w:rsidRPr="008554BC" w:rsidRDefault="008554BC" w:rsidP="008554BC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Bortsett fra de ansatte som er nevnt ovenfor, er det </w:t>
            </w:r>
            <w:r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departementet </w:t>
            </w: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som har ansettelsesretten. Direktøren avgir innstilling i disse sakene.</w:t>
            </w:r>
          </w:p>
        </w:tc>
      </w:tr>
      <w:tr w:rsidR="008554BC" w:rsidRPr="00185519" w14:paraId="410AF430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2F784E1" w14:textId="48639D45" w:rsidR="008554BC" w:rsidRPr="00185519" w:rsidRDefault="008554BC" w:rsidP="00D43D9D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0103" w:type="dxa"/>
            <w:shd w:val="clear" w:color="auto" w:fill="auto"/>
          </w:tcPr>
          <w:p w14:paraId="7CB18367" w14:textId="7F382DBD" w:rsidR="008554BC" w:rsidRPr="008554BC" w:rsidRDefault="008554BC" w:rsidP="008554BC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Dersom det er flere kvalifiserte søkere til en stilling, skal vanligvis tre søkere innstilles i den rekkefølge de bør komme i betraktning, jf. statsansatteloven</w:t>
            </w:r>
            <w:r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§ 5 tredje ledd.</w:t>
            </w:r>
          </w:p>
        </w:tc>
      </w:tr>
    </w:tbl>
    <w:p w14:paraId="208D712F" w14:textId="6D3BD19E" w:rsidR="00EE336F" w:rsidRPr="00185519" w:rsidRDefault="00EE336F" w:rsidP="00D43D9D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185519" w14:paraId="307579C6" w14:textId="77777777" w:rsidTr="007D2785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685F70C1" w14:textId="5F632D26" w:rsidR="00EE336F" w:rsidRPr="0038423E" w:rsidRDefault="00610CFD" w:rsidP="007D27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Utlysning av stillinger</w:t>
            </w:r>
          </w:p>
        </w:tc>
      </w:tr>
      <w:tr w:rsidR="004F636D" w:rsidRPr="00185519" w14:paraId="38AD83D5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0126C4CF" w14:textId="17794C18" w:rsidR="004F636D" w:rsidRPr="00185519" w:rsidRDefault="008554BC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103" w:type="dxa"/>
            <w:shd w:val="clear" w:color="auto" w:fill="auto"/>
          </w:tcPr>
          <w:p w14:paraId="4758E748" w14:textId="744EC60E" w:rsidR="005E3611" w:rsidRPr="00421B54" w:rsidRDefault="008554BC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Ledige stillinger </w:t>
            </w:r>
            <w: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2C1B21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: og </w:t>
            </w: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embete</w:t>
            </w:r>
            <w: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r]</w:t>
            </w: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skal, med de unntak som er nevnt i pkt. 3, utlyses offentlig, jf. statsansatteloven § 4 første ledd.</w:t>
            </w:r>
          </w:p>
        </w:tc>
      </w:tr>
      <w:tr w:rsidR="008554BC" w:rsidRPr="00185519" w14:paraId="1336BE96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678FF4CC" w14:textId="5BBA7701" w:rsidR="008554BC" w:rsidRPr="00185519" w:rsidRDefault="008554BC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103" w:type="dxa"/>
            <w:shd w:val="clear" w:color="auto" w:fill="auto"/>
          </w:tcPr>
          <w:p w14:paraId="18AF2BF9" w14:textId="17F0251F" w:rsidR="008554BC" w:rsidRPr="008554BC" w:rsidRDefault="008554BC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8554BC">
              <w:rPr>
                <w:rFonts w:eastAsia="Arial" w:cs="Arial"/>
                <w:bCs/>
                <w:color w:val="auto"/>
                <w:sz w:val="20"/>
                <w:szCs w:val="20"/>
              </w:rPr>
              <w:t>Stillinger som utlyses offentlig skal også utlyses internt dersom det er ansatte i virksomheten. Alle som er ansatt i virksomheten, fast eller midlertidig, og innleide arbeidstakere, kan søke stillinger som bare er utlyst internt. Se også arbeidsmiljøloven § 14-1.</w:t>
            </w:r>
          </w:p>
        </w:tc>
      </w:tr>
      <w:tr w:rsidR="008554BC" w:rsidRPr="00185519" w14:paraId="0F73A09E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585BD17" w14:textId="03EC8B8E" w:rsidR="008554BC" w:rsidRPr="00185519" w:rsidRDefault="008554BC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0103" w:type="dxa"/>
            <w:shd w:val="clear" w:color="auto" w:fill="auto"/>
          </w:tcPr>
          <w:p w14:paraId="16B3EC0E" w14:textId="6DDFFBC0" w:rsidR="008554BC" w:rsidRPr="008554BC" w:rsidRDefault="002309AE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309AE">
              <w:rPr>
                <w:rFonts w:eastAsia="Arial" w:cs="Arial"/>
                <w:bCs/>
                <w:color w:val="auto"/>
                <w:sz w:val="20"/>
                <w:szCs w:val="20"/>
              </w:rPr>
              <w:t>Fraværende ansatte skal underrettes om ledige stillinger, med mindre dette ikke er praktisk mulig.</w:t>
            </w:r>
          </w:p>
        </w:tc>
      </w:tr>
      <w:tr w:rsidR="008554BC" w:rsidRPr="00185519" w14:paraId="2DB50749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577FF780" w14:textId="40B68210" w:rsidR="008554BC" w:rsidRPr="00185519" w:rsidRDefault="002309AE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0103" w:type="dxa"/>
            <w:shd w:val="clear" w:color="auto" w:fill="auto"/>
          </w:tcPr>
          <w:p w14:paraId="6346C9B5" w14:textId="6F46FA87" w:rsidR="008554BC" w:rsidRPr="008554BC" w:rsidRDefault="002309AE" w:rsidP="00EE336F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309AE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Stillingen som direktør </w:t>
            </w:r>
            <w:r w:rsidRPr="006A434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6A4345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</w:t>
            </w:r>
            <w:r w:rsidR="006A4345" w:rsidRPr="006A4345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vt</w:t>
            </w:r>
            <w:r w:rsidR="006A4345" w:rsidRPr="006A434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:</w:t>
            </w:r>
            <w:r w:rsidRPr="006A434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også andre stillinger</w:t>
            </w:r>
            <w:r w:rsidR="006A4345" w:rsidRPr="006A434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  <w:r w:rsidRPr="006A4345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2309AE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utlyses av </w:t>
            </w:r>
            <w:r w:rsidR="006A4345"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="006A4345"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2309AE">
              <w:rPr>
                <w:rFonts w:eastAsia="Arial" w:cs="Arial"/>
                <w:bCs/>
                <w:color w:val="auto"/>
                <w:sz w:val="20"/>
                <w:szCs w:val="20"/>
              </w:rPr>
              <w:t>. De øvrige stillingene utlyses av virksomheten.</w:t>
            </w:r>
          </w:p>
        </w:tc>
      </w:tr>
    </w:tbl>
    <w:p w14:paraId="3487F478" w14:textId="77777777" w:rsidR="0009450D" w:rsidRPr="00185519" w:rsidRDefault="0009450D" w:rsidP="00D43D9D">
      <w:pPr>
        <w:spacing w:after="0"/>
        <w:rPr>
          <w:sz w:val="20"/>
          <w:szCs w:val="20"/>
        </w:rPr>
      </w:pPr>
    </w:p>
    <w:p w14:paraId="79B06E29" w14:textId="007F1CE6" w:rsidR="00EE336F" w:rsidRDefault="00EE336F" w:rsidP="00D43D9D">
      <w:pPr>
        <w:spacing w:after="0"/>
        <w:rPr>
          <w:sz w:val="12"/>
          <w:szCs w:val="12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185519" w14:paraId="64C064FC" w14:textId="77777777" w:rsidTr="007D2785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631982EB" w14:textId="5B2F03C7" w:rsidR="00EE336F" w:rsidRPr="0038423E" w:rsidRDefault="00610CFD" w:rsidP="007D27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Unntak fra reglementsbestemmelsene</w:t>
            </w:r>
          </w:p>
        </w:tc>
      </w:tr>
      <w:tr w:rsidR="00EE336F" w:rsidRPr="00185519" w14:paraId="737A16B2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74F4EF05" w14:textId="1AF54769" w:rsidR="00EE336F" w:rsidRPr="00185519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103" w:type="dxa"/>
            <w:shd w:val="clear" w:color="auto" w:fill="auto"/>
          </w:tcPr>
          <w:p w14:paraId="73829424" w14:textId="6DF19D4D" w:rsidR="00D3702F" w:rsidRPr="00421B54" w:rsidRDefault="002201FB" w:rsidP="007D2785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For ansettelse av statsansatte inntil seks måneder gjelder ikke kravene til offentlig utlysning, innstilling og ansettelse, jf. statsansatteloven § 7 første ledd. Direktøren har ansettelsesretten.</w:t>
            </w:r>
          </w:p>
        </w:tc>
      </w:tr>
      <w:tr w:rsidR="002201FB" w:rsidRPr="00185519" w14:paraId="7B4527FC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42E23904" w14:textId="3DFDA7B8" w:rsidR="002201FB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10103" w:type="dxa"/>
            <w:shd w:val="clear" w:color="auto" w:fill="auto"/>
          </w:tcPr>
          <w:p w14:paraId="7BB21E66" w14:textId="42C25F7B" w:rsidR="002201FB" w:rsidRPr="00421B54" w:rsidRDefault="002201FB" w:rsidP="007D2785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En ansettelse som strekker seg ut over seks måneder skal behandles etter reglementets vanlige regler.</w:t>
            </w:r>
          </w:p>
        </w:tc>
      </w:tr>
      <w:tr w:rsidR="002201FB" w:rsidRPr="00185519" w14:paraId="4DCD91F0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737E07DF" w14:textId="4C451DB6" w:rsidR="002201FB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10103" w:type="dxa"/>
            <w:shd w:val="clear" w:color="auto" w:fill="auto"/>
          </w:tcPr>
          <w:p w14:paraId="4500E13C" w14:textId="4FA37376" w:rsidR="002201FB" w:rsidRPr="00421B54" w:rsidRDefault="002201FB" w:rsidP="002201FB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Midlertidig ansettelse som omtalt i dette punkt, kan bare skje dersom det foreligger hjemmel for midlertidig ansettelse etter statsansatteloven § 9.</w:t>
            </w:r>
          </w:p>
        </w:tc>
      </w:tr>
      <w:tr w:rsidR="002201FB" w:rsidRPr="00185519" w14:paraId="193EDB47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6EE337C" w14:textId="1087FF9F" w:rsidR="002201FB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10103" w:type="dxa"/>
            <w:shd w:val="clear" w:color="auto" w:fill="auto"/>
          </w:tcPr>
          <w:p w14:paraId="1B39F37E" w14:textId="1C64F75C" w:rsidR="002201FB" w:rsidRPr="00421B54" w:rsidRDefault="002201FB" w:rsidP="007D2785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Ansettelser med kortere arbeidstid enn 15 timer pr. uke omfattes ikke av personalreglementets bestemmelser om innstilling og ansettelse. For disse ansettelsene avgis ikke innstilling og direktøren har ansettelsesretten.</w:t>
            </w:r>
          </w:p>
        </w:tc>
      </w:tr>
    </w:tbl>
    <w:p w14:paraId="3EF1EA89" w14:textId="77777777" w:rsidR="002C1B21" w:rsidRPr="00185519" w:rsidRDefault="002C1B21" w:rsidP="00D43D9D">
      <w:pPr>
        <w:spacing w:after="0"/>
        <w:rPr>
          <w:sz w:val="20"/>
          <w:szCs w:val="20"/>
        </w:rPr>
      </w:pPr>
    </w:p>
    <w:tbl>
      <w:tblPr>
        <w:tblStyle w:val="TableGrid"/>
        <w:tblW w:w="11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ayout w:type="fixed"/>
        <w:tblCellMar>
          <w:top w:w="35" w:type="dxa"/>
          <w:left w:w="103" w:type="dxa"/>
          <w:right w:w="91" w:type="dxa"/>
        </w:tblCellMar>
        <w:tblLook w:val="04A0" w:firstRow="1" w:lastRow="0" w:firstColumn="1" w:lastColumn="0" w:noHBand="0" w:noVBand="1"/>
      </w:tblPr>
      <w:tblGrid>
        <w:gridCol w:w="993"/>
        <w:gridCol w:w="10103"/>
      </w:tblGrid>
      <w:tr w:rsidR="00EE336F" w:rsidRPr="00185519" w14:paraId="206E1110" w14:textId="77777777" w:rsidTr="007D2785">
        <w:trPr>
          <w:trHeight w:val="288"/>
        </w:trPr>
        <w:tc>
          <w:tcPr>
            <w:tcW w:w="11096" w:type="dxa"/>
            <w:gridSpan w:val="2"/>
            <w:shd w:val="clear" w:color="auto" w:fill="8EAADB" w:themeFill="accent1" w:themeFillTint="99"/>
          </w:tcPr>
          <w:p w14:paraId="2A83E17C" w14:textId="1B59F7EA" w:rsidR="00EE336F" w:rsidRPr="0038423E" w:rsidRDefault="00610CFD" w:rsidP="007D27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Ikrafttredelse og varighet</w:t>
            </w:r>
            <w:r w:rsidR="00EE336F" w:rsidRPr="0038423E">
              <w:rPr>
                <w:b/>
                <w:bCs/>
                <w:sz w:val="22"/>
              </w:rPr>
              <w:t xml:space="preserve"> </w:t>
            </w:r>
          </w:p>
        </w:tc>
      </w:tr>
      <w:tr w:rsidR="00EE336F" w:rsidRPr="00185519" w14:paraId="673D2CFB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1C021FAD" w14:textId="11E05429" w:rsidR="00EE336F" w:rsidRPr="00185519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10103" w:type="dxa"/>
            <w:shd w:val="clear" w:color="auto" w:fill="auto"/>
          </w:tcPr>
          <w:p w14:paraId="1885FCBA" w14:textId="56EA6462" w:rsidR="00185519" w:rsidRPr="00185519" w:rsidRDefault="002201FB" w:rsidP="007D2785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Dette personalreglementet er fastsatt av </w:t>
            </w:r>
            <w:r w:rsidRPr="008554BC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[x]-</w:t>
            </w:r>
            <w:r w:rsidRPr="008554BC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departementet</w:t>
            </w: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, med hjemmel i statsansatteloven § 2 sjette ledd.</w:t>
            </w:r>
          </w:p>
        </w:tc>
      </w:tr>
      <w:tr w:rsidR="002201FB" w:rsidRPr="00185519" w14:paraId="72302A2C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44A1E10F" w14:textId="172377D4" w:rsidR="002201FB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10103" w:type="dxa"/>
            <w:shd w:val="clear" w:color="auto" w:fill="auto"/>
          </w:tcPr>
          <w:p w14:paraId="412400B9" w14:textId="77777777" w:rsidR="002201FB" w:rsidRDefault="002201FB" w:rsidP="007D2785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2201F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Fyll inn hvis det er aktuelt: </w:t>
            </w: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I samsvar med lovens krav er det innhentet synspunkter fra virksomhetens ledelse og de lokale representantene for tjenestemannsorganisasjonene som har forhandlingsrett etter tjenestetvistloven. </w:t>
            </w:r>
          </w:p>
          <w:p w14:paraId="376C2A56" w14:textId="77777777" w:rsidR="002201FB" w:rsidRDefault="002201FB" w:rsidP="007D2785">
            <w:pP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</w:pPr>
          </w:p>
          <w:p w14:paraId="1143D432" w14:textId="1379AB24" w:rsidR="002201FB" w:rsidRPr="002201FB" w:rsidRDefault="002201FB" w:rsidP="007D2785">
            <w:pPr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2201FB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Eventuelt fyll inn forklaring om hvorfor dette ikke har vært mulig, f.eks. fordi det ennå ikke er ansatte i virksomheten.]</w:t>
            </w:r>
          </w:p>
        </w:tc>
      </w:tr>
      <w:tr w:rsidR="002201FB" w:rsidRPr="00185519" w14:paraId="53086159" w14:textId="77777777" w:rsidTr="008E5708">
        <w:trPr>
          <w:trHeight w:val="599"/>
        </w:trPr>
        <w:tc>
          <w:tcPr>
            <w:tcW w:w="993" w:type="dxa"/>
            <w:shd w:val="clear" w:color="auto" w:fill="D9E2F3" w:themeFill="accent1" w:themeFillTint="33"/>
          </w:tcPr>
          <w:p w14:paraId="289958A7" w14:textId="77777777" w:rsidR="002201FB" w:rsidRDefault="002201FB" w:rsidP="007D2785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0103" w:type="dxa"/>
            <w:shd w:val="clear" w:color="auto" w:fill="auto"/>
          </w:tcPr>
          <w:p w14:paraId="1DEAC806" w14:textId="77E89D76" w:rsidR="002201FB" w:rsidRPr="002201FB" w:rsidRDefault="002201FB" w:rsidP="007D2785">
            <w:pPr>
              <w:rPr>
                <w:rFonts w:eastAsia="Arial" w:cs="Arial"/>
                <w:bCs/>
                <w:color w:val="auto"/>
                <w:sz w:val="20"/>
                <w:szCs w:val="20"/>
              </w:rPr>
            </w:pP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>Personalreglementet trer i kraft</w:t>
            </w:r>
            <w:r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0B4848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dato</w:t>
            </w: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] </w:t>
            </w:r>
            <w:r w:rsidRPr="002201FB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og varer inntil </w:t>
            </w: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[</w:t>
            </w:r>
            <w:r w:rsidRPr="000B4848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dato</w:t>
            </w:r>
            <w:r w:rsidR="00E75ECA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 [</w:t>
            </w:r>
            <w:r w:rsidRPr="00E75ECA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Alternativt</w:t>
            </w:r>
            <w:r w:rsidRPr="002201FB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 xml:space="preserve">: inntil det er forhandlet frem ordinært personalreglement for virksomheten i samsvar med statsansatteloven § 2 første til femte ledd, likevel ikke ut over </w:t>
            </w:r>
            <w:r w:rsidRPr="00E75ECA">
              <w:rPr>
                <w:rFonts w:eastAsia="Arial" w:cs="Arial"/>
                <w:bCs/>
                <w:i/>
                <w:iCs/>
                <w:color w:val="767171" w:themeColor="background2" w:themeShade="80"/>
                <w:sz w:val="20"/>
                <w:szCs w:val="20"/>
              </w:rPr>
              <w:t>[dato]</w:t>
            </w:r>
            <w:r w:rsidR="00E75ECA" w:rsidRPr="00E75ECA">
              <w:rPr>
                <w:rFonts w:eastAsia="Arial" w:cs="Arial"/>
                <w:bCs/>
                <w:color w:val="767171" w:themeColor="background2" w:themeShade="80"/>
                <w:sz w:val="20"/>
                <w:szCs w:val="20"/>
              </w:rPr>
              <w:t>]</w:t>
            </w:r>
          </w:p>
        </w:tc>
      </w:tr>
    </w:tbl>
    <w:p w14:paraId="5E5C0273" w14:textId="22E3F2DA" w:rsidR="00EE336F" w:rsidRDefault="00EE336F" w:rsidP="00D43D9D">
      <w:pPr>
        <w:spacing w:after="0"/>
        <w:rPr>
          <w:sz w:val="12"/>
          <w:szCs w:val="12"/>
        </w:rPr>
      </w:pPr>
    </w:p>
    <w:sectPr w:rsidR="00EE336F" w:rsidSect="008D1C45">
      <w:pgSz w:w="11906" w:h="16838"/>
      <w:pgMar w:top="488" w:right="510" w:bottom="284" w:left="41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CD256" w14:textId="77777777" w:rsidR="0006599A" w:rsidRDefault="0006599A" w:rsidP="00957681">
      <w:pPr>
        <w:spacing w:after="0" w:line="240" w:lineRule="auto"/>
      </w:pPr>
      <w:r>
        <w:separator/>
      </w:r>
    </w:p>
  </w:endnote>
  <w:endnote w:type="continuationSeparator" w:id="0">
    <w:p w14:paraId="56707194" w14:textId="77777777" w:rsidR="0006599A" w:rsidRDefault="0006599A" w:rsidP="00957681">
      <w:pPr>
        <w:spacing w:after="0" w:line="240" w:lineRule="auto"/>
      </w:pPr>
      <w:r>
        <w:continuationSeparator/>
      </w:r>
    </w:p>
  </w:endnote>
  <w:endnote w:type="continuationNotice" w:id="1">
    <w:p w14:paraId="0A03D7C1" w14:textId="77777777" w:rsidR="007D2785" w:rsidRDefault="007D2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7FF54" w14:textId="77777777" w:rsidR="0006599A" w:rsidRDefault="0006599A" w:rsidP="00957681">
      <w:pPr>
        <w:spacing w:after="0" w:line="240" w:lineRule="auto"/>
      </w:pPr>
      <w:r>
        <w:separator/>
      </w:r>
    </w:p>
  </w:footnote>
  <w:footnote w:type="continuationSeparator" w:id="0">
    <w:p w14:paraId="4742873E" w14:textId="77777777" w:rsidR="0006599A" w:rsidRDefault="0006599A" w:rsidP="00957681">
      <w:pPr>
        <w:spacing w:after="0" w:line="240" w:lineRule="auto"/>
      </w:pPr>
      <w:r>
        <w:continuationSeparator/>
      </w:r>
    </w:p>
  </w:footnote>
  <w:footnote w:type="continuationNotice" w:id="1">
    <w:p w14:paraId="474B8C42" w14:textId="77777777" w:rsidR="007D2785" w:rsidRDefault="007D27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70273"/>
    <w:multiLevelType w:val="hybridMultilevel"/>
    <w:tmpl w:val="52EC8C6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0163"/>
    <w:multiLevelType w:val="hybridMultilevel"/>
    <w:tmpl w:val="BC0E0F4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E77"/>
    <w:multiLevelType w:val="hybridMultilevel"/>
    <w:tmpl w:val="71600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923"/>
    <w:multiLevelType w:val="hybridMultilevel"/>
    <w:tmpl w:val="D64816A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712E"/>
    <w:multiLevelType w:val="hybridMultilevel"/>
    <w:tmpl w:val="88905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5CA"/>
    <w:multiLevelType w:val="hybridMultilevel"/>
    <w:tmpl w:val="AE8A52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46B4C"/>
    <w:multiLevelType w:val="hybridMultilevel"/>
    <w:tmpl w:val="3B2C5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7D7"/>
    <w:multiLevelType w:val="hybridMultilevel"/>
    <w:tmpl w:val="EC5045EE"/>
    <w:lvl w:ilvl="0" w:tplc="FF2E186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659E"/>
    <w:multiLevelType w:val="hybridMultilevel"/>
    <w:tmpl w:val="52F4E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677F7"/>
    <w:multiLevelType w:val="hybridMultilevel"/>
    <w:tmpl w:val="A80202B8"/>
    <w:lvl w:ilvl="0" w:tplc="2A346366">
      <w:start w:val="1"/>
      <w:numFmt w:val="decimal"/>
      <w:lvlText w:val="%1."/>
      <w:lvlJc w:val="left"/>
      <w:pPr>
        <w:ind w:left="362" w:hanging="360"/>
      </w:pPr>
      <w:rPr>
        <w:rFonts w:eastAsia="Arial" w:cs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2" w:hanging="360"/>
      </w:pPr>
    </w:lvl>
    <w:lvl w:ilvl="2" w:tplc="0414001B" w:tentative="1">
      <w:start w:val="1"/>
      <w:numFmt w:val="lowerRoman"/>
      <w:lvlText w:val="%3."/>
      <w:lvlJc w:val="right"/>
      <w:pPr>
        <w:ind w:left="1802" w:hanging="180"/>
      </w:pPr>
    </w:lvl>
    <w:lvl w:ilvl="3" w:tplc="0414000F" w:tentative="1">
      <w:start w:val="1"/>
      <w:numFmt w:val="decimal"/>
      <w:lvlText w:val="%4."/>
      <w:lvlJc w:val="left"/>
      <w:pPr>
        <w:ind w:left="2522" w:hanging="360"/>
      </w:pPr>
    </w:lvl>
    <w:lvl w:ilvl="4" w:tplc="04140019" w:tentative="1">
      <w:start w:val="1"/>
      <w:numFmt w:val="lowerLetter"/>
      <w:lvlText w:val="%5."/>
      <w:lvlJc w:val="left"/>
      <w:pPr>
        <w:ind w:left="3242" w:hanging="360"/>
      </w:pPr>
    </w:lvl>
    <w:lvl w:ilvl="5" w:tplc="0414001B" w:tentative="1">
      <w:start w:val="1"/>
      <w:numFmt w:val="lowerRoman"/>
      <w:lvlText w:val="%6."/>
      <w:lvlJc w:val="right"/>
      <w:pPr>
        <w:ind w:left="3962" w:hanging="180"/>
      </w:pPr>
    </w:lvl>
    <w:lvl w:ilvl="6" w:tplc="0414000F" w:tentative="1">
      <w:start w:val="1"/>
      <w:numFmt w:val="decimal"/>
      <w:lvlText w:val="%7."/>
      <w:lvlJc w:val="left"/>
      <w:pPr>
        <w:ind w:left="4682" w:hanging="360"/>
      </w:pPr>
    </w:lvl>
    <w:lvl w:ilvl="7" w:tplc="04140019" w:tentative="1">
      <w:start w:val="1"/>
      <w:numFmt w:val="lowerLetter"/>
      <w:lvlText w:val="%8."/>
      <w:lvlJc w:val="left"/>
      <w:pPr>
        <w:ind w:left="5402" w:hanging="360"/>
      </w:pPr>
    </w:lvl>
    <w:lvl w:ilvl="8" w:tplc="0414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937603E"/>
    <w:multiLevelType w:val="hybridMultilevel"/>
    <w:tmpl w:val="E82C856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3CEA"/>
    <w:multiLevelType w:val="hybridMultilevel"/>
    <w:tmpl w:val="4418BB1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252B5"/>
    <w:multiLevelType w:val="hybridMultilevel"/>
    <w:tmpl w:val="5BE6F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5EC2"/>
    <w:multiLevelType w:val="hybridMultilevel"/>
    <w:tmpl w:val="EE0E2E60"/>
    <w:lvl w:ilvl="0" w:tplc="0414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D200264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750506A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FA98C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E63F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F2E6BAA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C82B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F4845A4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D70CA2E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A61265"/>
    <w:multiLevelType w:val="hybridMultilevel"/>
    <w:tmpl w:val="ACFCC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0969674">
    <w:abstractNumId w:val="13"/>
  </w:num>
  <w:num w:numId="2" w16cid:durableId="180822443">
    <w:abstractNumId w:val="4"/>
  </w:num>
  <w:num w:numId="3" w16cid:durableId="1679649751">
    <w:abstractNumId w:val="12"/>
  </w:num>
  <w:num w:numId="4" w16cid:durableId="1090158422">
    <w:abstractNumId w:val="8"/>
  </w:num>
  <w:num w:numId="5" w16cid:durableId="224487390">
    <w:abstractNumId w:val="14"/>
  </w:num>
  <w:num w:numId="6" w16cid:durableId="1620260567">
    <w:abstractNumId w:val="9"/>
  </w:num>
  <w:num w:numId="7" w16cid:durableId="355888236">
    <w:abstractNumId w:val="2"/>
  </w:num>
  <w:num w:numId="8" w16cid:durableId="1565140260">
    <w:abstractNumId w:val="6"/>
  </w:num>
  <w:num w:numId="9" w16cid:durableId="1955596450">
    <w:abstractNumId w:val="5"/>
  </w:num>
  <w:num w:numId="10" w16cid:durableId="946079232">
    <w:abstractNumId w:val="11"/>
  </w:num>
  <w:num w:numId="11" w16cid:durableId="978539066">
    <w:abstractNumId w:val="3"/>
  </w:num>
  <w:num w:numId="12" w16cid:durableId="111674793">
    <w:abstractNumId w:val="10"/>
  </w:num>
  <w:num w:numId="13" w16cid:durableId="140930656">
    <w:abstractNumId w:val="1"/>
  </w:num>
  <w:num w:numId="14" w16cid:durableId="579172577">
    <w:abstractNumId w:val="0"/>
  </w:num>
  <w:num w:numId="15" w16cid:durableId="86444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38"/>
    <w:rsid w:val="00001E30"/>
    <w:rsid w:val="00003F18"/>
    <w:rsid w:val="00036CE3"/>
    <w:rsid w:val="0006599A"/>
    <w:rsid w:val="00074A27"/>
    <w:rsid w:val="0009450D"/>
    <w:rsid w:val="000B4848"/>
    <w:rsid w:val="000C7705"/>
    <w:rsid w:val="000D795B"/>
    <w:rsid w:val="001042CB"/>
    <w:rsid w:val="001165C8"/>
    <w:rsid w:val="00143BE6"/>
    <w:rsid w:val="001565F1"/>
    <w:rsid w:val="00185519"/>
    <w:rsid w:val="001862CE"/>
    <w:rsid w:val="001A5199"/>
    <w:rsid w:val="001A67B1"/>
    <w:rsid w:val="001A6E80"/>
    <w:rsid w:val="001B4D09"/>
    <w:rsid w:val="002201FB"/>
    <w:rsid w:val="002309AE"/>
    <w:rsid w:val="0027718A"/>
    <w:rsid w:val="002C1B21"/>
    <w:rsid w:val="00334656"/>
    <w:rsid w:val="00353CE1"/>
    <w:rsid w:val="00356176"/>
    <w:rsid w:val="003573B7"/>
    <w:rsid w:val="0035742D"/>
    <w:rsid w:val="00364413"/>
    <w:rsid w:val="0038423E"/>
    <w:rsid w:val="003C1EC5"/>
    <w:rsid w:val="00400C9A"/>
    <w:rsid w:val="00407BCD"/>
    <w:rsid w:val="004164B1"/>
    <w:rsid w:val="00421B54"/>
    <w:rsid w:val="0044614B"/>
    <w:rsid w:val="00486257"/>
    <w:rsid w:val="00486E5C"/>
    <w:rsid w:val="004F636D"/>
    <w:rsid w:val="00517174"/>
    <w:rsid w:val="00521631"/>
    <w:rsid w:val="005733F2"/>
    <w:rsid w:val="005E3611"/>
    <w:rsid w:val="00610CFD"/>
    <w:rsid w:val="00676582"/>
    <w:rsid w:val="006A4345"/>
    <w:rsid w:val="006A7CF5"/>
    <w:rsid w:val="006B44BB"/>
    <w:rsid w:val="006C1F00"/>
    <w:rsid w:val="006F2855"/>
    <w:rsid w:val="006F7A16"/>
    <w:rsid w:val="00705A22"/>
    <w:rsid w:val="00720FD3"/>
    <w:rsid w:val="00793382"/>
    <w:rsid w:val="007B4E61"/>
    <w:rsid w:val="007B520F"/>
    <w:rsid w:val="007B6441"/>
    <w:rsid w:val="007C65E8"/>
    <w:rsid w:val="007D2785"/>
    <w:rsid w:val="007D5CD8"/>
    <w:rsid w:val="007E37CA"/>
    <w:rsid w:val="007E4D1F"/>
    <w:rsid w:val="0083187F"/>
    <w:rsid w:val="008554BC"/>
    <w:rsid w:val="00891433"/>
    <w:rsid w:val="008B09B2"/>
    <w:rsid w:val="008D1C45"/>
    <w:rsid w:val="008E5708"/>
    <w:rsid w:val="00906C7C"/>
    <w:rsid w:val="00926C5B"/>
    <w:rsid w:val="0094767A"/>
    <w:rsid w:val="00957681"/>
    <w:rsid w:val="009777BB"/>
    <w:rsid w:val="009847BC"/>
    <w:rsid w:val="009A489A"/>
    <w:rsid w:val="009C01C2"/>
    <w:rsid w:val="00AB2E33"/>
    <w:rsid w:val="00AC32C4"/>
    <w:rsid w:val="00AC79D1"/>
    <w:rsid w:val="00AD0E38"/>
    <w:rsid w:val="00AD558A"/>
    <w:rsid w:val="00B5069F"/>
    <w:rsid w:val="00B731C9"/>
    <w:rsid w:val="00B93BA6"/>
    <w:rsid w:val="00BA18E7"/>
    <w:rsid w:val="00BB0CC2"/>
    <w:rsid w:val="00BE2780"/>
    <w:rsid w:val="00BF7779"/>
    <w:rsid w:val="00C14475"/>
    <w:rsid w:val="00C769FD"/>
    <w:rsid w:val="00CA1005"/>
    <w:rsid w:val="00CC5A8B"/>
    <w:rsid w:val="00CD0158"/>
    <w:rsid w:val="00D3702F"/>
    <w:rsid w:val="00D43D9D"/>
    <w:rsid w:val="00D81926"/>
    <w:rsid w:val="00D85306"/>
    <w:rsid w:val="00D90C8E"/>
    <w:rsid w:val="00D951A5"/>
    <w:rsid w:val="00DB5818"/>
    <w:rsid w:val="00DD2A50"/>
    <w:rsid w:val="00E66285"/>
    <w:rsid w:val="00E75ECA"/>
    <w:rsid w:val="00EB740F"/>
    <w:rsid w:val="00EE336F"/>
    <w:rsid w:val="00EF0C98"/>
    <w:rsid w:val="00F177D1"/>
    <w:rsid w:val="00F368B8"/>
    <w:rsid w:val="00FB48D1"/>
    <w:rsid w:val="00FD685F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7F"/>
    <w:rPr>
      <w:rFonts w:ascii="Arial" w:eastAsia="Calibri" w:hAnsi="Arial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81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3187F"/>
    <w:rPr>
      <w:color w:val="808080"/>
    </w:rPr>
  </w:style>
  <w:style w:type="paragraph" w:styleId="ListParagraph">
    <w:name w:val="List Paragraph"/>
    <w:basedOn w:val="Normal"/>
    <w:uiPriority w:val="34"/>
    <w:qFormat/>
    <w:rsid w:val="00364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B21"/>
    <w:rPr>
      <w:rFonts w:ascii="Arial" w:eastAsia="Calibri" w:hAnsi="Arial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B21"/>
    <w:rPr>
      <w:rFonts w:ascii="Arial" w:eastAsia="Calibri" w:hAnsi="Arial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733F2"/>
    <w:pPr>
      <w:spacing w:after="0" w:line="240" w:lineRule="auto"/>
    </w:pPr>
    <w:rPr>
      <w:rFonts w:ascii="Arial" w:eastAsia="Calibri" w:hAnsi="Arial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n/>
  <navn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8CE4-5316-41BC-9186-F6383350AD26}">
  <ds:schemaRefs/>
</ds:datastoreItem>
</file>

<file path=customXml/itemProps2.xml><?xml version="1.0" encoding="utf-8"?>
<ds:datastoreItem xmlns:ds="http://schemas.openxmlformats.org/officeDocument/2006/customXml" ds:itemID="{763E6EF6-A54A-45B4-BD37-73D3A30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4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2023-11-13T18:49:00Z</dcterms:created>
  <dcterms:modified xsi:type="dcterms:W3CDTF">2023-12-01T17:15:00Z</dcterms:modified>
</cp:coreProperties>
</file>